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5F3" w:rsidRPr="00705178" w:rsidRDefault="004035F3" w:rsidP="004035F3">
      <w:pPr>
        <w:pStyle w:val="Ttulo2"/>
        <w:spacing w:after="240"/>
        <w:jc w:val="center"/>
        <w:rPr>
          <w:rFonts w:asciiTheme="minorHAnsi" w:hAnsiTheme="minorHAnsi"/>
          <w:color w:val="262626" w:themeColor="text1" w:themeTint="D9"/>
        </w:rPr>
      </w:pPr>
      <w:bookmarkStart w:id="0" w:name="_Toc515042396"/>
      <w:r w:rsidRPr="00705178">
        <w:rPr>
          <w:rFonts w:asciiTheme="minorHAnsi" w:hAnsiTheme="minorHAnsi"/>
          <w:color w:val="262626" w:themeColor="text1" w:themeTint="D9"/>
        </w:rPr>
        <w:t>Anexo 1. Metodología para la cuantificación de las poblaciones Potencial y Objetivo</w:t>
      </w:r>
      <w:bookmarkEnd w:id="0"/>
    </w:p>
    <w:p w:rsidR="004035F3" w:rsidRPr="006F3999" w:rsidRDefault="004035F3" w:rsidP="004035F3">
      <w:pPr>
        <w:jc w:val="both"/>
        <w:rPr>
          <w:color w:val="262626" w:themeColor="text1" w:themeTint="D9"/>
        </w:rPr>
      </w:pPr>
      <w:r w:rsidRPr="006F3999">
        <w:rPr>
          <w:color w:val="262626" w:themeColor="text1" w:themeTint="D9"/>
        </w:rPr>
        <w:t xml:space="preserve">En el entendido de que la </w:t>
      </w:r>
      <w:r w:rsidRPr="006F3999">
        <w:rPr>
          <w:b/>
          <w:bCs/>
          <w:i/>
          <w:iCs/>
          <w:color w:val="262626" w:themeColor="text1" w:themeTint="D9"/>
        </w:rPr>
        <w:t xml:space="preserve">población o área de enfoque potencial </w:t>
      </w:r>
      <w:r w:rsidRPr="006F3999">
        <w:rPr>
          <w:color w:val="262626" w:themeColor="text1" w:themeTint="D9"/>
        </w:rPr>
        <w:t xml:space="preserve">se refiere a la población o área de enfoque total que presenta la necesidad y/o problema, que justifica la existencia del </w:t>
      </w:r>
      <w:r w:rsidRPr="006F3999">
        <w:rPr>
          <w:i/>
          <w:color w:val="262626" w:themeColor="text1" w:themeTint="D9"/>
        </w:rPr>
        <w:t>Programa</w:t>
      </w:r>
      <w:r w:rsidRPr="006F3999">
        <w:rPr>
          <w:color w:val="262626" w:themeColor="text1" w:themeTint="D9"/>
        </w:rPr>
        <w:t xml:space="preserve"> y que por lo tanto pudiera ser elegible para su atención; y que la </w:t>
      </w:r>
      <w:r w:rsidRPr="006F3999">
        <w:rPr>
          <w:b/>
          <w:bCs/>
          <w:i/>
          <w:iCs/>
          <w:color w:val="262626" w:themeColor="text1" w:themeTint="D9"/>
        </w:rPr>
        <w:t xml:space="preserve">población o área de enfoque objetivo </w:t>
      </w:r>
      <w:r w:rsidRPr="006F3999">
        <w:rPr>
          <w:bCs/>
          <w:iCs/>
          <w:color w:val="262626" w:themeColor="text1" w:themeTint="D9"/>
        </w:rPr>
        <w:t>es</w:t>
      </w:r>
      <w:r w:rsidRPr="006F3999">
        <w:rPr>
          <w:color w:val="262626" w:themeColor="text1" w:themeTint="D9"/>
        </w:rPr>
        <w:t xml:space="preserve"> la población o área de enfoque que el </w:t>
      </w:r>
      <w:r w:rsidRPr="006F3999">
        <w:rPr>
          <w:i/>
          <w:color w:val="262626" w:themeColor="text1" w:themeTint="D9"/>
        </w:rPr>
        <w:t>Programa</w:t>
      </w:r>
      <w:r w:rsidRPr="006F3999">
        <w:rPr>
          <w:color w:val="262626" w:themeColor="text1" w:themeTint="D9"/>
        </w:rPr>
        <w:t xml:space="preserve"> tiene planeado o programado atender para cubrir la población o área de enfoque potencial, y que cumple con los criterios de elegibilidad establecidos en su normatividad, se tiene lo siguiente.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62"/>
        <w:gridCol w:w="6266"/>
      </w:tblGrid>
      <w:tr w:rsidR="004035F3" w:rsidRPr="006F3999" w:rsidTr="00CD36EA">
        <w:trPr>
          <w:trHeight w:val="547"/>
        </w:trPr>
        <w:tc>
          <w:tcPr>
            <w:tcW w:w="2830" w:type="dxa"/>
            <w:vAlign w:val="center"/>
          </w:tcPr>
          <w:p w:rsidR="004035F3" w:rsidRPr="006F3999" w:rsidRDefault="004035F3" w:rsidP="00CD36EA">
            <w:pPr>
              <w:rPr>
                <w:b/>
                <w:sz w:val="18"/>
              </w:rPr>
            </w:pPr>
            <w:r w:rsidRPr="006F3999">
              <w:rPr>
                <w:b/>
                <w:sz w:val="18"/>
              </w:rPr>
              <w:t>Población Potencial</w:t>
            </w:r>
          </w:p>
        </w:tc>
        <w:tc>
          <w:tcPr>
            <w:tcW w:w="7088" w:type="dxa"/>
          </w:tcPr>
          <w:p w:rsidR="004035F3" w:rsidRPr="006F3999" w:rsidRDefault="004035F3" w:rsidP="00CD36EA">
            <w:pPr>
              <w:jc w:val="both"/>
              <w:rPr>
                <w:sz w:val="18"/>
              </w:rPr>
            </w:pPr>
            <w:r w:rsidRPr="006F3999">
              <w:rPr>
                <w:sz w:val="18"/>
              </w:rPr>
              <w:t>Para un año “t”, como las Instituciones de educación superior públicas y privadas, centros e institutos de investigación, empresas públicas, empresas privadas, personas físicas, personas morales, que estén dedicadas a la investigación científica, tecnológica o a la innovación, miembros del Registro Nacional de Instituciones y Empresas Científicas y Tecnológicas (RENIECYT), cuyas propuestas hayan sido evaluadas favorables por expertos y recomendadas por la Comisión de Evaluación (CE) al Comité Técnico y de Administración (</w:t>
            </w:r>
            <w:proofErr w:type="spellStart"/>
            <w:r w:rsidRPr="006F3999">
              <w:rPr>
                <w:sz w:val="18"/>
              </w:rPr>
              <w:t>CTyA</w:t>
            </w:r>
            <w:proofErr w:type="spellEnd"/>
            <w:r w:rsidRPr="006F3999">
              <w:rPr>
                <w:sz w:val="18"/>
              </w:rPr>
              <w:t>) para su aprobación, más todas aquellas con proyectos vigentes en ese año.</w:t>
            </w:r>
          </w:p>
        </w:tc>
      </w:tr>
      <w:tr w:rsidR="004035F3" w:rsidRPr="006F3999" w:rsidTr="00CD36EA">
        <w:trPr>
          <w:trHeight w:val="547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:rsidR="004035F3" w:rsidRPr="006F3999" w:rsidRDefault="004035F3" w:rsidP="00CD36EA">
            <w:pPr>
              <w:rPr>
                <w:b/>
                <w:sz w:val="18"/>
              </w:rPr>
            </w:pPr>
            <w:r w:rsidRPr="006F3999">
              <w:rPr>
                <w:b/>
                <w:sz w:val="18"/>
              </w:rPr>
              <w:t>Población Objetivo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4035F3" w:rsidRPr="006F3999" w:rsidRDefault="004035F3" w:rsidP="00CD36EA">
            <w:pPr>
              <w:jc w:val="both"/>
              <w:rPr>
                <w:sz w:val="18"/>
              </w:rPr>
            </w:pPr>
            <w:r w:rsidRPr="006F3999">
              <w:rPr>
                <w:sz w:val="18"/>
              </w:rPr>
              <w:t>Para un año “t”, como las instituciones de educación superior públicas y privadas, centros e institutos de investigación, empresas públicas, empresas privadas, personas físicas, personas morales, que estén dedicadas a la investigación científica, tecnológica o a la innovación, miembros del Registro Nacional de Instituciones y Empresas Científicas y Tecnológicas (RENIECYT), cuyas propuestas hayan sido evaluadas favorables por expertos y recomendadas por la Comisión de Evaluación (CE), asimismo fueron aprobadas por parte del Comité Técnico y de Administración (</w:t>
            </w:r>
            <w:proofErr w:type="spellStart"/>
            <w:r w:rsidRPr="006F3999">
              <w:rPr>
                <w:sz w:val="18"/>
              </w:rPr>
              <w:t>CTyA</w:t>
            </w:r>
            <w:proofErr w:type="spellEnd"/>
            <w:r w:rsidRPr="006F3999">
              <w:rPr>
                <w:sz w:val="18"/>
              </w:rPr>
              <w:t>) y publicados los resultados; más todas aquellas con proyectos vigentes en ese año</w:t>
            </w:r>
          </w:p>
        </w:tc>
      </w:tr>
      <w:tr w:rsidR="004035F3" w:rsidRPr="006F3999" w:rsidTr="00CD36EA">
        <w:trPr>
          <w:trHeight w:val="70"/>
        </w:trPr>
        <w:tc>
          <w:tcPr>
            <w:tcW w:w="991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035F3" w:rsidRPr="006F3999" w:rsidRDefault="004035F3" w:rsidP="00CD36EA">
            <w:pPr>
              <w:jc w:val="both"/>
              <w:rPr>
                <w:sz w:val="18"/>
              </w:rPr>
            </w:pPr>
            <w:r w:rsidRPr="006F3999">
              <w:rPr>
                <w:sz w:val="16"/>
              </w:rPr>
              <w:t>Fuente:</w:t>
            </w:r>
            <w:r>
              <w:t xml:space="preserve"> </w:t>
            </w:r>
            <w:r w:rsidRPr="00BC7C2B">
              <w:rPr>
                <w:sz w:val="16"/>
              </w:rPr>
              <w:t>Documento metodológico para la cuantificación de poblaciones: potencial, objetivo y atendida del Programa S192 – “Fortalecimiento sectorial de las capacidades científicas, tecnológicas y de innovación”</w:t>
            </w:r>
            <w:r>
              <w:rPr>
                <w:sz w:val="16"/>
              </w:rPr>
              <w:t>.</w:t>
            </w:r>
          </w:p>
        </w:tc>
      </w:tr>
    </w:tbl>
    <w:p w:rsidR="004035F3" w:rsidRDefault="004035F3" w:rsidP="004035F3">
      <w:pPr>
        <w:spacing w:before="240"/>
        <w:jc w:val="both"/>
        <w:rPr>
          <w:color w:val="262626" w:themeColor="text1" w:themeTint="D9"/>
        </w:rPr>
      </w:pPr>
      <w:r w:rsidRPr="006F3999">
        <w:rPr>
          <w:color w:val="262626" w:themeColor="text1" w:themeTint="D9"/>
        </w:rPr>
        <w:t>Las cuantificaciones que se presentan son:</w:t>
      </w:r>
    </w:p>
    <w:p w:rsidR="004035F3" w:rsidRDefault="004035F3" w:rsidP="004035F3">
      <w:pPr>
        <w:spacing w:after="0"/>
        <w:jc w:val="center"/>
        <w:rPr>
          <w:color w:val="262626" w:themeColor="text1" w:themeTint="D9"/>
        </w:rPr>
      </w:pPr>
      <w:r>
        <w:rPr>
          <w:noProof/>
          <w:lang w:eastAsia="es-MX"/>
        </w:rPr>
        <w:lastRenderedPageBreak/>
        <w:drawing>
          <wp:inline distT="0" distB="0" distL="0" distR="0" wp14:anchorId="25A19AF0" wp14:editId="43C1A774">
            <wp:extent cx="4584700" cy="2755900"/>
            <wp:effectExtent l="0" t="0" r="635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35F3" w:rsidRDefault="004035F3" w:rsidP="004035F3">
      <w:pPr>
        <w:ind w:left="1418" w:right="1467"/>
        <w:rPr>
          <w:sz w:val="16"/>
        </w:rPr>
      </w:pPr>
      <w:r w:rsidRPr="006F3999">
        <w:rPr>
          <w:sz w:val="16"/>
        </w:rPr>
        <w:t>Fuente: Documento Descriptivo del Diseño del Programa de Fortalecimiento a Nivel Sectorial de las Capacidades Científicas, Tecnológicas y de Innovación (S192)</w:t>
      </w:r>
      <w:r>
        <w:rPr>
          <w:sz w:val="16"/>
        </w:rPr>
        <w:t>.</w:t>
      </w:r>
    </w:p>
    <w:p w:rsidR="004035F3" w:rsidRDefault="004035F3" w:rsidP="004035F3">
      <w:pPr>
        <w:rPr>
          <w:sz w:val="16"/>
        </w:rPr>
      </w:pPr>
      <w:r w:rsidRPr="006F3999">
        <w:rPr>
          <w:sz w:val="16"/>
        </w:rPr>
        <w:t>.</w:t>
      </w:r>
    </w:p>
    <w:p w:rsidR="004035F3" w:rsidRDefault="004035F3" w:rsidP="004035F3">
      <w:pPr>
        <w:jc w:val="both"/>
        <w:rPr>
          <w:color w:val="262626" w:themeColor="text1" w:themeTint="D9"/>
        </w:rPr>
      </w:pPr>
      <w:r w:rsidRPr="00A34BB4">
        <w:rPr>
          <w:color w:val="262626" w:themeColor="text1" w:themeTint="D9"/>
        </w:rPr>
        <w:t xml:space="preserve">Esta cuantificación que proporciona el </w:t>
      </w:r>
      <w:r w:rsidRPr="00A34BB4">
        <w:rPr>
          <w:i/>
          <w:color w:val="262626" w:themeColor="text1" w:themeTint="D9"/>
        </w:rPr>
        <w:t>Diagnóstico</w:t>
      </w:r>
      <w:r w:rsidRPr="00A34BB4">
        <w:rPr>
          <w:color w:val="262626" w:themeColor="text1" w:themeTint="D9"/>
        </w:rPr>
        <w:t xml:space="preserve"> corresponde a proyectos y no a las </w:t>
      </w:r>
      <w:r w:rsidRPr="00A34BB4">
        <w:rPr>
          <w:i/>
          <w:color w:val="262626" w:themeColor="text1" w:themeTint="D9"/>
        </w:rPr>
        <w:t>instancias</w:t>
      </w:r>
      <w:r w:rsidRPr="00A34BB4">
        <w:rPr>
          <w:color w:val="262626" w:themeColor="text1" w:themeTint="D9"/>
        </w:rPr>
        <w:t xml:space="preserve">. No se encontró ninguna fuente que realizara la cuantificación considerando a las </w:t>
      </w:r>
      <w:r w:rsidRPr="00A34BB4">
        <w:rPr>
          <w:i/>
          <w:color w:val="262626" w:themeColor="text1" w:themeTint="D9"/>
        </w:rPr>
        <w:t>instancias</w:t>
      </w:r>
      <w:r w:rsidRPr="00A34BB4">
        <w:rPr>
          <w:color w:val="262626" w:themeColor="text1" w:themeTint="D9"/>
        </w:rPr>
        <w:t xml:space="preserve">. Esta inconstancia es una debilidad del </w:t>
      </w:r>
      <w:r w:rsidRPr="00A34BB4">
        <w:rPr>
          <w:i/>
          <w:color w:val="262626" w:themeColor="text1" w:themeTint="D9"/>
        </w:rPr>
        <w:t>Programa</w:t>
      </w:r>
      <w:r w:rsidRPr="00A34BB4">
        <w:rPr>
          <w:color w:val="262626" w:themeColor="text1" w:themeTint="D9"/>
        </w:rPr>
        <w:t xml:space="preserve"> y equivale a la ausencia de cuantificación de las poblaciones potencial y objetivo.</w:t>
      </w:r>
    </w:p>
    <w:p w:rsidR="004035F3" w:rsidRDefault="004035F3" w:rsidP="004035F3">
      <w:pPr>
        <w:spacing w:after="120"/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 xml:space="preserve">En el documento denominado </w:t>
      </w:r>
      <w:r w:rsidRPr="00AA25E0">
        <w:rPr>
          <w:i/>
          <w:color w:val="262626" w:themeColor="text1" w:themeTint="D9"/>
        </w:rPr>
        <w:t>Estrategia de Cobertura</w:t>
      </w:r>
      <w:r>
        <w:rPr>
          <w:color w:val="262626" w:themeColor="text1" w:themeTint="D9"/>
        </w:rPr>
        <w:t xml:space="preserve"> se describe la metodología de cuantificación también con base en proyectos, no </w:t>
      </w:r>
      <w:r w:rsidRPr="00136196">
        <w:rPr>
          <w:i/>
          <w:color w:val="262626" w:themeColor="text1" w:themeTint="D9"/>
        </w:rPr>
        <w:t>instancias</w:t>
      </w:r>
      <w:r>
        <w:rPr>
          <w:color w:val="262626" w:themeColor="text1" w:themeTint="D9"/>
        </w:rPr>
        <w:t>, y presenta los datos para 2017 como sigue:</w:t>
      </w:r>
    </w:p>
    <w:p w:rsidR="004035F3" w:rsidRDefault="004035F3" w:rsidP="004035F3">
      <w:pPr>
        <w:spacing w:after="120"/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Población Potencial: 3,398</w:t>
      </w:r>
    </w:p>
    <w:p w:rsidR="004035F3" w:rsidRDefault="004035F3" w:rsidP="004035F3">
      <w:pPr>
        <w:spacing w:after="120"/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Población Objetivo: 3.274</w:t>
      </w:r>
    </w:p>
    <w:p w:rsidR="004035F3" w:rsidRDefault="004035F3" w:rsidP="004035F3">
      <w:pPr>
        <w:jc w:val="both"/>
        <w:rPr>
          <w:color w:val="262626" w:themeColor="text1" w:themeTint="D9"/>
        </w:rPr>
      </w:pPr>
      <w:r>
        <w:rPr>
          <w:color w:val="262626" w:themeColor="text1" w:themeTint="D9"/>
        </w:rPr>
        <w:t>Población Atendida: 2,767</w:t>
      </w:r>
    </w:p>
    <w:p w:rsidR="00B8306D" w:rsidRDefault="00B8306D">
      <w:bookmarkStart w:id="1" w:name="_GoBack"/>
      <w:bookmarkEnd w:id="1"/>
    </w:p>
    <w:sectPr w:rsidR="00B830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F3"/>
    <w:rsid w:val="004035F3"/>
    <w:rsid w:val="00414E62"/>
    <w:rsid w:val="00B8306D"/>
    <w:rsid w:val="00D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C62CF9-DAAB-4F7E-875F-808054DC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35F3"/>
    <w:pPr>
      <w:spacing w:after="200" w:line="276" w:lineRule="auto"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035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4035F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40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Rios</dc:creator>
  <cp:keywords/>
  <dc:description/>
  <cp:lastModifiedBy>Octavio Rios</cp:lastModifiedBy>
  <cp:revision>1</cp:revision>
  <dcterms:created xsi:type="dcterms:W3CDTF">2018-06-30T02:01:00Z</dcterms:created>
  <dcterms:modified xsi:type="dcterms:W3CDTF">2018-06-30T02:01:00Z</dcterms:modified>
</cp:coreProperties>
</file>